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13 185 vom 20. November 2014</w:t>
      </w:r>
    </w:p>
    <w:p>
      <w:r>
        <w:t>VS Kantonsgericht, 2014-11-20, DE</w:t>
      </w:r>
    </w:p>
    <w:p>
      <w:r>
        <w:rPr>
          <w:b/>
        </w:rPr>
        <w:t xml:space="preserve">Quelle: </w:t>
      </w:r>
      <w:r>
        <w:t>https://mcp.opencaselaw.ch/entscheid/vs_gerichte_C3 13 185</w:t>
      </w:r>
    </w:p>
    <w:p>
      <w:r>
        <w:t>FR: VS_GERICHTE C3 13 185 du 20 novembre 2014</w:t>
      </w:r>
    </w:p>
    <w:p>
      <w:r>
        <w:t>IT: VS_GERICHTE C3 13 185 del 20 novembre 2014</w:t>
      </w:r>
    </w:p>
    <w:p>
      <w:pPr>
        <w:pStyle w:val="Heading2"/>
      </w:pPr>
      <w:r>
        <w:t>Regeste</w:t>
      </w:r>
    </w:p>
    <w:p>
      <w:r>
        <w:t>C3 13 185 URTEIL VOM 20. NOVEMBER 2014 Kantonsgericht Wallis I. Zivilrechtliche Abteilung Hermann Murmann, Einzelrichter; Dr. Rochus Jossen, Gerichtsschreiber in Sachen X_________, Beklagte und Beschwerdeführerin, vertreten durch Rechtsanwalt A_________ gegen Y_________ AG, Klägerin und Beschwerdegegnerin, vertreten durch Rechtsanwalt B_________ (Werkvertrag) Beschwerde gegen das Urteil des Bezirksgerichts C_________ vom 27. September 2013</w:t>
      </w:r>
    </w:p>
    <w:p>
      <w:pPr>
        <w:pStyle w:val="Heading2"/>
      </w:pPr>
      <w:r>
        <w:t>Erwägungen</w:t>
      </w:r>
    </w:p>
    <w:p>
      <w:r>
        <w:rPr>
          <w:b/>
        </w:rPr>
        <w:t>E. 4</w:t>
      </w:r>
    </w:p>
    <w:p>
      <w:r>
        <w:t>Im Beschwerdeverfahren ist vorab umstritten, ob zwischen den Prozessparteien ein Werkvertragsverhältnis zustande gekommen ist.</w:t>
      </w:r>
    </w:p>
    <w:p>
      <w:r>
        <w:rPr>
          <w:b/>
        </w:rPr>
        <w:t>E. 4.1</w:t>
      </w:r>
    </w:p>
    <w:p>
      <w:r>
        <w:t>Zum Abschluss eines Vertrages ist die übereinstimmende gegenseitige Wil- lensäusserung der Parteien erforderlich (Art. 1 Abs. 1 OR). Eine solche liegt vor, wenn jede Partei die andere tatsächlich richtig verstanden hat, die Parteien mithin überein- stimmend einen Vertrag bestimmten Inhalts abschliessen wollten (tatsächlicher Kon- sens). Der Bestand eines Vertrages ist wie dessen Inhalt demnach durch Auslegung der Willensäusserungen der Parteien zu bestimmen (BGE 132 III 626 E. 3.1; Bundes- gerichtsurteile 4A_574/2013 vom 15. Mai 2014 E. 3.1, 4C.434/2005 vom 22. Januar</w:t>
      </w:r>
    </w:p>
    <w:p>
      <w:r>
        <w:t>- 9 - 2007 E. 4.1). Diese subjektive Vertragsauslegung beruht auf Beweiswürdigung, welche im Beschwerdeverfahren als Tatfrage nur mehr einer eingeschränkten Überprüfung unterliegt (Art. 320 lit. b ZPO; für das bundesgerichtliche Verfahren: BGE 135 III 410 E. 3.2, 133 III 675 E. 3.3, 131 III 606 E. 4.1 S. 611, 129 III 375 E. 2e/aa, 126 III 119 E. 2a, 121 III 118 E. 4b/aa; Bundesgerichtsurteile 5A_127/2013 vom 1. Juli 2013 E. 4.1, 6B_125/2012 vom 28. Juni 2012 E. 4.4.1; Wiegand, Basler Kommentar, 5. A., N. 15, 41 ff. zu Art. 18 OR). Steht eine tatsächliche Willensübereinstimmung fest, bleibt für eine Auslegung nach dem Vertrauensgrundsatz kein Raum (BGE 132 III 626 E. 3.1, 128 III 70 E. 1a; Bundesgerichtsurteil 4C.108/2004 vom 29. August 2005 E. 2). Erst wenn eine tatsächliche Willensübereinstimmung unbewiesen bleibt, sind zur Ermittlung des mutmasslichen Parteiwillens die Erklärungen der Parteien aufgrund des Vertrau- ensprinzips so auszulegen, wie sie nach ihrem Wortlaut und Zusammenhang sowie den gesamten Umständen verstanden werden durften und mussten, was auch im Fall des Erklärungsfehlers oder der Falschübermittlung gilt. Diesfalls liegt ein normativer Konsens vor (BGE 135 III 410 E. 3.2, 133 III 675 E. 3.3, 123 III 35 E. 2b; Bundesge- richtsurteile 4A_574/2013 vom 15. Mai 2014 E. 3.1, 4C.434/2005 vom 22. Januar 2007 E. 4.1). Dies kann als Rechtsfrage von der Beschwerdeinstanz mit freier Prüfungsbe- fugnis beurteilt werden (Art. 320 lit. a ZPO; BGE 135 III 410 E. 3.2, 133 III 675 E. 3.3; Bundesgerichtsurteil 6B_125/2012 vom 28. Juni 2012 E. 4.4.1). Indessen stellen die erstinstanzlichen Feststellungen über die äusseren Umstände sowie das Wissen und Wollen der Beteiligten wiederum Tatsachenfeststellungen dar samt der daraus folgen- den eingeschränkten Kognition im Verfahren gemäss Art. 319 ff. ZPO (BGE 132 III 24 E. 4, 131 III 606 E. 4.1, 130 III 66 E. 3.2, 129 III 417 E. 3.2, 129 III 118 E. 2.5, 129 III 702 E. 2.4, je mit Hinweisen). Massgebend ist der Zeitpunkt des Vertragsabschlusses. Nachträgliches Parteiverhalten ist bei der Auslegung nach dem Vertrauensprinzip nicht von Bedeutung; es kann allenfalls auf einen tatsächlichen Willen der Parteien schlies- sen lassen (BGE 133 III 61 E. 2.2.1, 132 III 626 E. 3.1, 129 III 675 E. 2.3, 118 II 365 E. 1; Bundesgerichtsurteil 4A_41/2012 vom 31. Mai 2012 E. 3.1).</w:t>
      </w:r>
    </w:p>
    <w:p>
      <w:r>
        <w:rPr>
          <w:b/>
        </w:rPr>
        <w:t>E. 4.2</w:t>
      </w:r>
    </w:p>
    <w:p>
      <w:r>
        <w:t>mit Hinweisen; Gauch/Schluep/Schmid/Emmenegger, Schweizerisches Obligationenrecht, Allgemei- ner Teil, Band I, 10. A., Zürich/Basel/Genf 2014, N. 186, 203). Tatsache bleibt, dass im</w:t>
      </w:r>
    </w:p>
    <w:p>
      <w:r>
        <w:t>- 14 - Zuge der Kommunikation ausnahmslos und von beiden Seiten festgehalten wurde, dass es sich um private Arbeiten der Beschwerdeführerin mit privaten Kosten für die- selbe handle. An dieser unzweideutigen Kommunikation zwischen G_________ und I_________ vermag der Umstand nichts zu ändern, dass ähnliche Zusatzleistungen auch zwischen den Parteien des Kaufvertrags hätten vereinbart werden können. Der Mehrpreiszusammenstellung der D_________ AG vom 1. Dezember 2009, welche auch die besagten Arbeiten auflistet (vgl. S. 35), kommt entgegen der Ansicht der Be- schwerdeführerin für die Beurteilung eines tatsächlichen Konsenses zwischen den Prozessparteien mehrere Monate zuvor keine Bedeutung zu, da das Verhalten der D_________ AG diesbezüglich sowohl der vereinbarten Kostenregelung zwischen ihr und der Beschwerdeführerin (vgl. hierzu angefochtener Entscheid E. 2.2, S. 474 ff.) als auch ihrer früheren Mitteilung vom 21. September 2009 an die Beschwerdegegnerin widerspricht, worin sie der Beschwerdegegnerin G_________ als Rechnungsadresse für die Entschädigung der fraglichen Arbeiten angegeben hatte (S. 100). Schliesslich ist nicht einzusehen, inwieweit die von der Beschwerdeführerin zitierte Stelle der E- Mailnachricht von G_________ an H_________ vom 21. September 2009, dass die Rechnung gemäss vertraglicher Abmachung weitergeleitet werden solle, dessen zwei- te Aussage, dass allfällige private Arbeiten - anders als in der Schweiz üblich - nicht innert Monatsfrist, sondern erst nach deren Prüfung bezahlt würden (S. 85), entkräften sollte. Zusammenfassend stellte die Vorinstanz in Berücksichtigung und Würdigung der rele- vanten Beweismittel der E-Mailkorrespondenz und der unterzeichneten Auftragsbestä- tigungen ohne weiteres nachvollziehbar fest, dass die Beschwerdeführerin mit der Be- schwerdegegnerin ausserhalb des Kaufvertrags für die Arbeiten an der Galerie und die zusätzliche Tür einen Werkvertrag abschliessen wollte und auch abschloss, wenn auch im Wissen, dass die Kosten für die Arbeiten an der Galerie (nicht aber diejenigen für die Schranktüre) im Anschluss daran von der Verkäuferin übernommen werden. Ob und inwieweit diese Kosten von der D_________ AG übernommen werden müssen, braucht im vorliegenden Verfahren nicht beurteilt zu werden. Daher schloss die Vo- rinstanz in willkürfreier Annahme auf den tatsächlichen Konsens im Zeitpunkt der Un- terzeichnung der Auftragsbestätigungen, so dass aufgrund dieser tatsächlichen Fest- stellung kein Raum für den von der Beschwerdegegnerin nunmehr geltend gemachten Erklärungsirrtum besteht (vgl. 105 II 23 E. 2b; Gauch/Schluep/Schmid/Em-menegger, a.a.O., N. 761 ff.; Schwenzer, Basler Kommentar, 5. A., N. 1 zu Vor Art. 23-31 OR).</w:t>
      </w:r>
    </w:p>
    <w:p>
      <w:r>
        <w:t>- 15 -</w:t>
      </w:r>
    </w:p>
    <w:p>
      <w:r>
        <w:rPr>
          <w:b/>
        </w:rPr>
        <w:t>E. 4.2.1</w:t>
      </w:r>
    </w:p>
    <w:p>
      <w:r>
        <w:t>Im kantonalen Beschwerdeverfahren kann nur die „offensichtlich unrichtige“, d.h. willkürliche Tatsachenfeststellung und Beweiswürdigung geltend gemacht werden (Art. 320 lit. b ZPO; vgl. BGE 138 III 232 E. 4.1.2; Bundesgerichtsurteil 5D_203/2013 vom 12. März 2014 E. 3.2; ferner Gasser/Rickli, a.a.O., N. 3 zu Art. 321 ZPO; Sterchi, a.a.O., N. 4 ff. zu Art. 320 ZPO, je mit Hinweisen). Darunter fällt einzig, dass der festgestellte Sachverhalt qualifiziert falsch, d.h. die Fest- stellung schlechthin unhaltbar und damit offensichtlich unrichtig ist (Staehe- lin/Staehelin/Grolimund, Zivilprozessrecht, 2. A., Zürich/Basel/Genf 2013, § 26 N. 35 f.).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 der Weise dem Gerechtigkeitsgedanken zuwiderläuft (BGE 138 IV 13 E. 5.1, 134 II 124 E. 4.1, 132 III 209 E. 2.1, 131 I 57 E. 2; Bundesgerichtsurteil 4A_533/2013 vom 27. März 2014 E. 2.2). Die Beweiswürdigung ist mithin nicht schon dann willkürlich, wenn sie nicht mit der Darstellung der beschwerdeführenden Partei übereinstimmt, sondern bloss, wenn sie offensichtlich unhaltbar ist (BGE 140 III 264 E. 2.3, 135 II 356 E. 4.2.1, 129 I 8 E. 2.1, 116 Ia 85 E. 2b). Dies ist insbesondere dann der Fall, wenn das Sachgericht erhebliche Beweismittel übersieht, augenscheinlich missversteht oder grundlos ausser Acht lässt, oder wenn es aus den vorliegenden Beweisen unhaltbare Schlüsse zieht (vgl. BGE 137 I 58 E. 4.1.2, 129 I 8 E. 2.1; Bundesgerichtsurteil</w:t>
      </w:r>
    </w:p>
    <w:p>
      <w:r>
        <w:t>- 11 - 4A_91/2014 vom 11. Juli 2014 E. 3). Hat sich die Behörde aus einer Gesamtheit von konvergenten Elementen oder Anzeichen eine Meinung über den Sachverhalt gebildet, genügt es nicht, dass das eine oder das andere von diesen, oder gar jedes für sich genommen, ungenügend ist. Die Beweiswürdigung muss in ihrer Gesamtheit geprüft werden. Keine Willkür liegt dann vor, wenn der angenommene Sachverhalt aus der Gegenüberstellung von verschiedenen Elementen oder Anzeichen in haltbarer Weise abgeleitet werden konnte. Ebenso liegt Willkür nicht schon allein deshalb vor, weil ein oder mehrere bekräftigende Argumente fraglich sind, wenn ein oder mehrere schla- gende Argumente die in Betracht bezogene Lösung zu begründen vermögen (Bundes- gerichtsurteil 6B_364/2011 vom 24. Oktober 2011 E. 4.1).</w:t>
      </w:r>
    </w:p>
    <w:p>
      <w:r>
        <w:rPr>
          <w:b/>
        </w:rPr>
        <w:t>E. 4.2.2</w:t>
      </w:r>
    </w:p>
    <w:p>
      <w:r>
        <w:t>Das Bezirksgericht erachtete einen tatsächlichen Konsens zwischen der Be- schwerdeführerin und der Beschwerdegegnerin zum einen gestützt auf den E- Mailverkehr zwischen dem Vertreter der Beschwerdeführerin und den Verantwortlichen der D_________ AG und zum anderen aufgrund der unterzeichneten Auftragsbestäti- gungen als erstellt. Nach Ansicht des Bezirksgerichts fungierte dabei die D_________ AG lediglich als Botin, welche die Auftragsbestätigung der Beschwerdeführerin an die Beschwerdegegnerin weitergeleitet hat (angefochtener Entscheid E. 2.3.1, S. 477 ff.). Diese Feststellung eines tatsächlichen Konsenses zum Abschluss von zwei Werkver- trägen ist aus nachfolgenden Gründen nicht offensichtlich unhaltbar: Wie vom Bezirks- gericht zutreffend dargelegt (vgl. angefochtener Entscheid E. 2.1 - 2.3, S. 473 ff.) kam es während der Bauphase zu einem regen E-Mailaustausch zwischen Mitarbeitern der D_________ AG, namentlich in der Person von I_________, und dem als Vertreter der Beschwerdeführerin auftretenden G_________. Im Zuge dieser Korrespondenz spricht G_________ im Juli 2009 im Zusammenhang mit der Erweiterung einer Galerie („the gallery floor extension“) und einer Schranktür im Erdgeschoss („the door separation by the staircase on the ground floor“) ausdrücklich von den einzigen zwei privaten Projek- ten („only two private projects“) und von privaten Kosten („costs are private“), für wel- che er einen Kostenvoranschlag von J_________ erwarte. Je nach Kosten würden diese Projekte verwirklicht oder nicht (vgl. E-Mailnachricht vom 17. Juli 2009, S. 60; E- Mailnachricht vom 20. Juli 2009, Z2 10 29 S. 315). Zeitlich daran anschliessend, am 29. Juli 2009, offerierte die Beschwerdegegnerin, klar gekennzeichnet auf ihrem eige- nem Briefkopf, die infrage stehenden zwei Werke, welche Offerten an „Frau X_________, Chalet F_________, K_________“ gerichtet waren (S. 11 f.). Am glei- chen Tag adressierte sie an dieselbe Empfängerin für die jeweiligen Arbeiten je eine Auftragsbestätigung, worin sie nebst der Angabe des Unternehmers die einzelnen</w:t>
      </w:r>
    </w:p>
    <w:p>
      <w:r>
        <w:t>- 12 - Leistungen sowie deren Preis auflistete (S. 13 f.). Sowohl die Auftragsbestätigungen wie auch die Offerten wiesen die vorzunehmenden Arbeiten als „zusätzliche Arbeiten“ am „Chalet F_________“ in E_________ aus und sie unterschieden sich von der übri- gen Korrespondenz von der Beschwerdegegnerin an die D_________ AG (vgl. S. 267 ff.) durch die abweichende Adresse sowie die unterschiedliche Kundennummer. Diese zwei Offerten übersandte I_________ am 31. Juli 2009 G_________ mitsamt dem Hinweis, dass diese von der Beschwerdegegnerin stammen („two offers […] of Mr J_________“) und dass die beiliegenden Auftragsbestätigungen („confirmation of order“) zu unterzeichnen und zurückzusenden seien (S. 68). Nachdem sich I_________ am 14. August 2014 bei G_________ nach den Auftrags- bestätigungen für J_________ erkundigt (S. 71) und diesen am 17. August 2014 abermals daran erinnert hatte, dass sie die unterzeichneten Auftragsbestätigungen benötige, damit sie diese J_________ geben könne (S. 70), antwortete dieser glei- chentags, dass die Beschwerdeführerin die Dokumente unterzeichnen und er sie noch am gleichen Tage senden werde, so dass L_________ diese J_________ überreichen könne (S. 70). Die unterzeichneten Auftragsbestätigungen für J_________ („Please find attached the five signed pages, as request for Mr J_________.“) wurden schliess- lich am 18. August 2009 per Faxmitteilung von G_________ übermittelt. Gleichzeitig erinnerte dieser die D_________ AG daran, dass diese sich vorgängig zur Übernahme der Kosten für die Arbeiten an der Galerie verpflichtet habe (S. 205, 13 f.). Diese inter- ne Kostenregelung war vorgängig zwischen der D_________ AG und X_________ vereinbart worden und war der Beschwerdegegnerin nicht kommuniziert worden (näher zur Abmachung zwischen der D_________ AG und X_________ vgl. angefochtener Entscheid E. 2.2, S. 474 ff.). Demzufolge bestand zum einen im Vorfeld der Offerteinreichung eine klare Sprachre- gelung zwischen den Kaufvertragsparteien, dass es sich bei den offerierten Werken um private Projekte und private Kosten der Käuferin handle, welche sie bei der Be- schwerdegegnerin zu erstellen lassen gedenke, und zum anderen wurde nach Offert- stellung und im Zusammenhang mit den von J_________ eingeforderten Auftragsbe- stätigungen ausschliesslich von der Beschwerdegegnerin bzw. von deren Vertreter und nicht von der D_________ AG gesprochen. Diese im Vorfeld und im Anschluss zur Offertstellung und Zustellung der Auftragsbestätigungen in Englisch geführte E- Mailkorrespondenz zeigt auf, dass, obschon beide Dokumente in deutscher Sprache verfasst waren, sowohl der Vertreter der Beschwerdeführerin, dessen Wissen sie sich anrechnen lassen muss (Watter, Basler Kommentar, 5. A., N. 24 ff. zu Art. 32 OR mit</w:t>
      </w:r>
    </w:p>
    <w:p>
      <w:r>
        <w:t>- 13 - weiteren Hinweisen), wie auch die Beschwerdeführerin selbst sich sehr wohl im Klaren waren, dass sie mit ihrer Unterschrift die Beschwerdegegnerin mit der Erstellung der offerierten Werke zum angegebenen Preis beauftragten. Die gegenteilige Aussage X_________ anlässlich ihrer Parteieinvernahme, sie habe den Sinn der deutschen Dokumente nicht verstanden und geglaubt, es würde sich lediglich um Vorschläge für technische Spezifikationen handeln (S. 377), erscheint angesichts des E- Mailaustausches ebenso wenig glaubhaft wie diejenige von G_________, der die D_________ AG als einzige Vertragspartnerin ausmachen wollte (S. 368), zumal G_________ im Zuge der Korrespondenz mehrmals darauf hingewiesen worden war, wer der Urheber der Offerte und Adressat der Auftragsbestätigung sei, und er dies auch selbst wiederholt hatte. J_________ schliesslich bezeichnete die Beschwerdefüh- rerin als diejenige Person, welche den Auftrag zu den fraglichen Arbeiten mittels der schriftlichen Auftragsbestätigungen erteilt habe (S. 369, 371 f.) und I_________ gab anlässlich ihrer Zeugeneinvernahme ebenso zu Protokoll, dass nicht sie die Auftrags- bestätigungen verlangt habe, sondern „wahrscheinlich Herr J_________, da es sich um zusätzliche Arbeiten/Änderungen [gehandelt habe]“ (S. 363). Diese Beweislage lässt auf den gegenseitigen Willen zum Abschluss des strittigen Werkvertragsverhältnisses schliessen. Die Beanstandungen der Beschwerdeführerin samt der mit ihnen aufgeführten Beweismittel vermögen daran nichts zu ändern, zumal eine Tatsachenfeststellung nicht bereits deshalb willkürlich erscheint, weil einzelne Beweismittel gegen die festgestellte Tatsache sprechen: So haben die Vertragspartei- en zwar ausschliesslich über die Repräsentanten der D_________ AG miteinander kommuniziert (vgl. hierzu auch J_________, S. 370, 372). Es ist indessen ohne weite- res plausibel, dass die Korrespondenz an X_________ über K_________, wo die Ver- käuferin des Grundstücks ihren Sitz hatte, und nicht über E_________ lief, da das Chalet in E_________ zu diesem Zeitpunkt noch nicht fertiggestellt war, die Käuferin in England wohnte, sie über ihren Vertreter in stetem Kontakt mit der Verkäuferin war und die Beschwerdegegnerin erst über ihre Tätigkeit für die Verkäuferin Kontakt zur Käufe- rin erhalten hatte. Überdies gab J_________ anlässlich seiner Befragung glaubwürdig zu Protokoll, die Offerten deshalb nicht direkt an X_________ geschickt zu haben, weil er der englischen Sprache nicht mächtig sei (S. 372). Folglich übermittelte I_________ beidseitig lediglich die fremden Willenserklärungen und trat die Verkäuferin des Cha- lets insoweit unzweifelhaft als Botin auf, was rechtens ist (vgl. Bundesgerichtsurteil 4C.434/2005 vom 22. Januar 2007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